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9D" w:rsidRPr="006B119D" w:rsidRDefault="006B119D" w:rsidP="006B119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Қызметтерді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сатып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алудың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ерекшелігі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қолжетімділік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)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қолданыстағы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ақпараттық-техникалық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платформа GOS24.kz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сертификаттау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мәліметтер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оны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GOS24.kz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авторлық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құқықпен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объектілерге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құқықтардың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тізілімінде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ұсынуға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Құжаттама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тіркелгенін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растайтын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көшірмесін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45970">
        <w:rPr>
          <w:rFonts w:ascii="Times New Roman" w:hAnsi="Times New Roman" w:cs="Times New Roman"/>
          <w:b/>
          <w:sz w:val="20"/>
          <w:szCs w:val="20"/>
        </w:rPr>
        <w:t>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деректердің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ағып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кетуінен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құралдарымен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жабдықталуы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керек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стандарттарына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сәйкестігі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өткізілген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сынақтармен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расталған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белгіленген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келуі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6B119D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Қазақстан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Республикасы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цифрлық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даму,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инновациялар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аэроғарыш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өнеркәсібі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инистестігінің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комитеті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берген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міндеттемелері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2.1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</w:t>
      </w:r>
      <w:r>
        <w:rPr>
          <w:rFonts w:ascii="Times New Roman" w:hAnsi="Times New Roman" w:cs="Times New Roman"/>
          <w:b/>
          <w:sz w:val="20"/>
          <w:szCs w:val="20"/>
        </w:rPr>
        <w:t>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міндеттенеді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GOS24.kz,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компьютерлерінде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орнатылған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Бұл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үнемі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жаңартуларды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қателерді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түзетуді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өнімділікті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сақтауды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үздіксіз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істеуін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етуді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қамтиды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>2.2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қолжетімділікті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платформа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қызметтеріне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жеткізуді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етуі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керек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GOS24.kz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2.3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болып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табылатын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қызметкерлеріне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қолдау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мәселелерді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шешу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кіреді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Default="006C7B12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Аккредиттеу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біліктілігін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арттыру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курстарын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ретінде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ұсынылуы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3.2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вебинар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қорғалған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алаңыңыз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осы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лицензиялардың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білдіреді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3.3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отандық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өндірушілердің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тізілімі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Индустриялық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сертификат: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отандық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өндірушілерінің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Атамекен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ҚР ҰКП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органы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индустриялық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сертификатпен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расталады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3.4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жауапкершілік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кепілдіктер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тұлғаларды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тартуға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берілмейді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сапасы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сенімділігіне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3.5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сабақтары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3.6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жүйесіне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өзгерістер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өзгерістер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енгізе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3.7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жабдықтың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орналасқан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жері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орналасқан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жабдықтары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етілуі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жалға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алынатын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тиесілі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-де TIER III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санатынан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болмауы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шарттар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4.1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қызметкерлерінің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компьютерлерінде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бастапқы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Тұрақты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қауіпсіздікті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уақтылы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Функционалдылықты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кеңейту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үнемі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4.2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хабарламалар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файлдардың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алмасуын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ресурстарға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жазбаларына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мақалаларға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түсіндірулерге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Сұрақ-жауап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сервисі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кадрлық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сатып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қоюға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4.3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жүйелермен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Интеграция.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БҚ ЕХД,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еңбекақы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АЖ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басқа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да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интеграция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өзгертілмейтініне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кепілдік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4.4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мақсаты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шешу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Куратор телефон,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пошта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кабинет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өтініштерге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жетімді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консультациялар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демалыс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мереке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күндерін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қоспағанда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сайын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сағат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09:00-ден 18:00-ге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қолжетімді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керек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4.5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жұмыстар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ағымдағы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4.6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міндеттемесі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қалыпты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қалпына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келтіру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4.7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орнатуға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арналған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оңтайландыру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платформа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нәтижелеріне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негізделген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4.8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пысықтаулары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толықтыруларды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аймақтарды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4.9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шарттарды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бұзу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беделдік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шығындарына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орындаушылық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тәртіптің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бұзылуына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әкеп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соққан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орындамаған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шартты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5.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жиынтығы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Пайдаланушылардың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санын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ұсынылатын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көлемін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қажеттілігі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ауқымына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қарай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қызметкерлерін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уақытын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:rsidR="00B45970" w:rsidRDefault="00B45970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МБ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бұлтты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әдістемелік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қолдау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есеп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жүйесіне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базасының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Пайдаланушылар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Техникалық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сервистік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сағаттарының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:rsidR="0054362F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күнтізбелік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2,5 (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жарым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сағаттан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артық</w:t>
            </w:r>
            <w:proofErr w:type="spellEnd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емес</w:t>
            </w:r>
            <w:proofErr w:type="spellEnd"/>
          </w:p>
          <w:p w:rsidR="0054362F" w:rsidRPr="007A1EAC" w:rsidRDefault="0054362F" w:rsidP="00CE0B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бухгалтерлік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қызметтің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жаңа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қызметкерін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жұмысқа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қосымша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ақысыз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көбейтуге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EA5E5F"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</w:tc>
      </w:tr>
    </w:tbl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11E3" w:rsidRDefault="00BD11E3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7ADC" w:rsidRPr="00BA333A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>Техническая спецификация государственной закупки услуг</w:t>
      </w:r>
    </w:p>
    <w:p w:rsidR="00017A84" w:rsidRPr="004230BE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FD00AD">
        <w:rPr>
          <w:rFonts w:ascii="Times New Roman" w:hAnsi="Times New Roman" w:cs="Times New Roman"/>
          <w:b/>
          <w:sz w:val="20"/>
          <w:szCs w:val="20"/>
        </w:rPr>
        <w:t>сопровождению</w:t>
      </w:r>
      <w:r w:rsidR="007A58E5" w:rsidRP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(</w:t>
      </w:r>
      <w:r w:rsidR="004230BE" w:rsidRPr="004230BE">
        <w:rPr>
          <w:rFonts w:ascii="Times New Roman" w:hAnsi="Times New Roman" w:cs="Times New Roman"/>
          <w:b/>
          <w:sz w:val="20"/>
          <w:szCs w:val="20"/>
        </w:rPr>
        <w:t>техническое обслуживание, доступ и сервисное обслуживание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)</w:t>
      </w:r>
      <w:r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67ADC" w:rsidRDefault="00017A84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0BE">
        <w:rPr>
          <w:rFonts w:ascii="Times New Roman" w:hAnsi="Times New Roman" w:cs="Times New Roman"/>
          <w:b/>
          <w:sz w:val="20"/>
          <w:szCs w:val="20"/>
        </w:rPr>
        <w:t xml:space="preserve">имеющейся 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 xml:space="preserve">информационно-технической </w:t>
      </w:r>
      <w:r w:rsidR="00A5198A" w:rsidRPr="004230BE">
        <w:rPr>
          <w:rFonts w:ascii="Times New Roman" w:hAnsi="Times New Roman" w:cs="Times New Roman"/>
          <w:b/>
          <w:sz w:val="20"/>
          <w:szCs w:val="20"/>
        </w:rPr>
        <w:t>п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>латформы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GOS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kz</w:t>
      </w:r>
      <w:proofErr w:type="spellEnd"/>
      <w:r w:rsid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0B92" w:rsidRDefault="009A0B92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76DA" w:rsidRDefault="009E65B4" w:rsidP="00271F2C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Сертификация платформы.</w:t>
      </w:r>
    </w:p>
    <w:p w:rsidR="007876DA" w:rsidRPr="007876DA" w:rsidRDefault="007876DA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Сведения о платформе и её регистрация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Регистрация в государственном реестре: Платформа GOS24.kz должна быть зарегистрирована в Государственном реестре прав на объекты, охраняемые авторским правом. Поставщик обязан предоставить свидетельство о регистрации.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Документация: Предоставление копии свидетельства, подтверждающего регистрацию платформы.</w:t>
      </w:r>
    </w:p>
    <w:p w:rsidR="007876DA" w:rsidRP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Требования к информационной безопасности</w:t>
      </w:r>
    </w:p>
    <w:p w:rsidR="00915E4B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Защита от несанкционированного доступа: Платформа должна быть оборудована средствами защиты от несанкционированного доступа и утечки персональных данных.</w:t>
      </w:r>
    </w:p>
    <w:p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Соответствие стандартам безопасности: Платформа должна соответствовать установленным требованиям информационной безопасности, подтвержденным проведенными испытаниями.</w:t>
      </w:r>
    </w:p>
    <w:p w:rsidR="007876DA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Акт испытания: Предоставление Акта испытания, выданного Комитетом по информационной безопасности</w:t>
      </w:r>
      <w:r w:rsidR="00915E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инистерства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цифрового развития, инноваций и аэрокосмической промышленности Республики Казахстан.</w:t>
      </w:r>
    </w:p>
    <w:p w:rsidR="00270809" w:rsidRPr="006D21F6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B65" w:rsidRDefault="009E65B4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Обязательства поставщика.</w:t>
      </w:r>
    </w:p>
    <w:p w:rsidR="009E65B4" w:rsidRDefault="009E65B4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Техническое обслуживание.</w:t>
      </w:r>
    </w:p>
    <w:p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 xml:space="preserve">Поставщик обязуется осуществлять техническое обслуживание </w:t>
      </w:r>
      <w:proofErr w:type="spellStart"/>
      <w:r w:rsidRPr="009E65B4">
        <w:rPr>
          <w:rFonts w:ascii="Times New Roman" w:hAnsi="Times New Roman" w:cs="Times New Roman"/>
          <w:b/>
          <w:sz w:val="20"/>
          <w:szCs w:val="20"/>
        </w:rPr>
        <w:t>десктопного</w:t>
      </w:r>
      <w:proofErr w:type="spellEnd"/>
      <w:r w:rsidRPr="009E65B4">
        <w:rPr>
          <w:rFonts w:ascii="Times New Roman" w:hAnsi="Times New Roman" w:cs="Times New Roman"/>
          <w:b/>
          <w:sz w:val="20"/>
          <w:szCs w:val="20"/>
        </w:rPr>
        <w:t xml:space="preserve"> приложения платформы GOS24.kz, установленного на компьютерах Заказчика. Это включает в себя регулярные обновления, исправление ошибок, поддержание работоспособности и обеспечение бесперебойной работы платформы.</w:t>
      </w:r>
    </w:p>
    <w:p w:rsidR="009E65B4" w:rsidRDefault="009E65B4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Обес</w:t>
      </w:r>
      <w:r w:rsidR="006C7B12">
        <w:rPr>
          <w:rFonts w:ascii="Times New Roman" w:hAnsi="Times New Roman" w:cs="Times New Roman"/>
          <w:b/>
          <w:sz w:val="20"/>
          <w:szCs w:val="20"/>
        </w:rPr>
        <w:t>печение доступа.</w:t>
      </w:r>
    </w:p>
    <w:p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Поставщик должен обеспечить доступ к сервисам платформы GOS24.kz через </w:t>
      </w:r>
      <w:proofErr w:type="spellStart"/>
      <w:r w:rsidRPr="009E65B4">
        <w:rPr>
          <w:rFonts w:ascii="Times New Roman" w:hAnsi="Times New Roman" w:cs="Times New Roman"/>
          <w:b/>
          <w:sz w:val="20"/>
          <w:szCs w:val="20"/>
        </w:rPr>
        <w:t>десктопное</w:t>
      </w:r>
      <w:proofErr w:type="spellEnd"/>
      <w:r w:rsidRPr="009E65B4">
        <w:rPr>
          <w:rFonts w:ascii="Times New Roman" w:hAnsi="Times New Roman" w:cs="Times New Roman"/>
          <w:b/>
          <w:sz w:val="20"/>
          <w:szCs w:val="20"/>
        </w:rPr>
        <w:t xml:space="preserve"> приложение.</w:t>
      </w:r>
    </w:p>
    <w:p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Сервисное обслуживание.</w:t>
      </w:r>
    </w:p>
    <w:p w:rsidR="00271F2C" w:rsidRPr="00271F2C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Поставщик обязан предоставлять сервисное обслуживание сотрудникам Заказчика, являющимся пользователями платформы. Это включает в себя поддержку пользователей, решение технических проблем, консультации и обучение по использованию платформы.</w:t>
      </w:r>
    </w:p>
    <w:p w:rsidR="009E65B4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F2C">
        <w:rPr>
          <w:rFonts w:ascii="Times New Roman" w:hAnsi="Times New Roman" w:cs="Times New Roman"/>
          <w:b/>
          <w:sz w:val="20"/>
          <w:szCs w:val="20"/>
        </w:rPr>
        <w:t>Требования к поставщику.</w:t>
      </w:r>
    </w:p>
    <w:p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6D21F6" w:rsidRDefault="00271F2C" w:rsidP="00F86D73">
      <w:pPr>
        <w:pStyle w:val="a3"/>
        <w:spacing w:after="100" w:afterAutospacing="1" w:line="240" w:lineRule="auto"/>
        <w:ind w:left="106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 Аккредитация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и обучение</w:t>
      </w:r>
      <w:r w:rsidR="006D21F6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Свидетельство об аккредитации: Поставщик должен иметь действующее свидетельство об аккредитации на право проведения обучения и курсов повышения квалификации бухгалтеров Республики Казахстан. Копия свидетельства должна быть предоставлена в качестве подтверждения.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3.2 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Площадка для </w:t>
      </w:r>
      <w:proofErr w:type="spellStart"/>
      <w:r w:rsidRPr="006D21F6">
        <w:rPr>
          <w:rFonts w:ascii="Times New Roman" w:hAnsi="Times New Roman" w:cs="Times New Roman"/>
          <w:b/>
          <w:sz w:val="20"/>
          <w:szCs w:val="20"/>
        </w:rPr>
        <w:t>вебинаров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 xml:space="preserve">Авторские права: Необходимо иметь собственную площадку, защищенную авторским правом, для проведения профильных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>. Это подразумевает наличие всех необходимых прав и лицензий на использование данной платформы.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3.3 </w:t>
      </w:r>
      <w:r w:rsidRPr="006D21F6">
        <w:rPr>
          <w:rFonts w:ascii="Times New Roman" w:hAnsi="Times New Roman" w:cs="Times New Roman"/>
          <w:b/>
          <w:sz w:val="20"/>
          <w:szCs w:val="20"/>
        </w:rPr>
        <w:t>Реестр отечественных производителей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Индустриальный сертификат: Поставщик должен быть зарегистрирован в реестре отечественных производителей Республики Казахстан, что подтверждается индустриальным сертификатом, выданным уполномоченным органом НПП РК АТАМЕКЕН.</w:t>
      </w:r>
    </w:p>
    <w:p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4 Ответственность </w:t>
      </w:r>
      <w:r w:rsidR="00E6330C">
        <w:rPr>
          <w:rFonts w:ascii="Times New Roman" w:hAnsi="Times New Roman" w:cs="Times New Roman"/>
          <w:b/>
          <w:sz w:val="20"/>
          <w:szCs w:val="20"/>
        </w:rPr>
        <w:t>и гарантии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Сохранность данных: Поставщик несет полную ответственность за сохранность данных и конфиденциальность информации. Не допускается привлечение третьих лиц для выполнения услуг, указанных в технической спецификации.</w:t>
      </w:r>
    </w:p>
    <w:p w:rsidR="00E6330C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30C">
        <w:rPr>
          <w:rFonts w:ascii="Times New Roman" w:hAnsi="Times New Roman" w:cs="Times New Roman"/>
          <w:sz w:val="20"/>
          <w:szCs w:val="20"/>
        </w:rPr>
        <w:t>Поставщик несет ответственность за качество и надежность предоставляемых услуг, а также за соблюдение всех требований безопасности и конфиденциальности данных.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3.5 </w:t>
      </w:r>
      <w:r w:rsidRPr="006D21F6">
        <w:rPr>
          <w:rFonts w:ascii="Times New Roman" w:hAnsi="Times New Roman" w:cs="Times New Roman"/>
          <w:b/>
          <w:sz w:val="20"/>
          <w:szCs w:val="20"/>
        </w:rPr>
        <w:t>Образовательная площадка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 xml:space="preserve">Личные кабинеты и учебные материалы: </w:t>
      </w:r>
      <w:r w:rsidR="00B050C9">
        <w:rPr>
          <w:rFonts w:ascii="Times New Roman" w:hAnsi="Times New Roman" w:cs="Times New Roman"/>
          <w:sz w:val="20"/>
          <w:szCs w:val="20"/>
        </w:rPr>
        <w:t>Поставщику н</w:t>
      </w:r>
      <w:r w:rsidRPr="006D21F6">
        <w:rPr>
          <w:rFonts w:ascii="Times New Roman" w:hAnsi="Times New Roman" w:cs="Times New Roman"/>
          <w:sz w:val="20"/>
          <w:szCs w:val="20"/>
        </w:rPr>
        <w:t xml:space="preserve">еобходимо иметь площадку с личными кабинетами,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видеоуроками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по работе в программном обеспечении бухгалтерского учета и профильной базой знаний.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3.6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 Внесение изменений в учетную систему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Доработка по техническому заданию: Поставщик должен иметь возможность вносить изменения и доработки в конфигурацию учетной системы в соответствии с техническим заданием Заказчика.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3.7 </w:t>
      </w:r>
      <w:r w:rsidRPr="006D21F6">
        <w:rPr>
          <w:rFonts w:ascii="Times New Roman" w:hAnsi="Times New Roman" w:cs="Times New Roman"/>
          <w:b/>
          <w:sz w:val="20"/>
          <w:szCs w:val="20"/>
        </w:rPr>
        <w:t>Местонахождение оборудования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Расположение в Республике Казахстан: Все оборудов</w:t>
      </w:r>
      <w:r w:rsidR="00890A93">
        <w:rPr>
          <w:rFonts w:ascii="Times New Roman" w:hAnsi="Times New Roman" w:cs="Times New Roman"/>
          <w:sz w:val="20"/>
          <w:szCs w:val="20"/>
        </w:rPr>
        <w:t>ание и программное обеспечение П</w:t>
      </w:r>
      <w:r w:rsidRPr="006D21F6">
        <w:rPr>
          <w:rFonts w:ascii="Times New Roman" w:hAnsi="Times New Roman" w:cs="Times New Roman"/>
          <w:sz w:val="20"/>
          <w:szCs w:val="20"/>
        </w:rPr>
        <w:t xml:space="preserve">оставщика (арендуемые или принадлежащие поставщику) должны находиться в Республике Казахстан, в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не ниже категории TIER III.</w:t>
      </w:r>
    </w:p>
    <w:p w:rsidR="006D21F6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21F6">
        <w:rPr>
          <w:rFonts w:ascii="Times New Roman" w:hAnsi="Times New Roman" w:cs="Times New Roman"/>
          <w:b/>
          <w:sz w:val="20"/>
          <w:szCs w:val="20"/>
        </w:rPr>
        <w:t>Дополнительные условия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4.1 Т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ехническое обслуживание </w:t>
      </w:r>
      <w:proofErr w:type="spellStart"/>
      <w:r w:rsidR="006D21F6" w:rsidRPr="006D21F6">
        <w:rPr>
          <w:rFonts w:ascii="Times New Roman" w:hAnsi="Times New Roman" w:cs="Times New Roman"/>
          <w:b/>
          <w:sz w:val="20"/>
          <w:szCs w:val="20"/>
        </w:rPr>
        <w:t>десктопного</w:t>
      </w:r>
      <w:proofErr w:type="spellEnd"/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приложения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E6330C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Установка и настройка: Проведение начальной установки и настройки приложения на компьютерах сотрудников Заказчика.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Регулярные обновления: Обеспечение своевременного обновления приложения для улучшения производительности и безопасности.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Защита данных: Реализация мер по обеспечению безопасности данных в приложении.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lastRenderedPageBreak/>
        <w:t>Расширение функциональности: Постоянное улучшение и добавление новых функций в приложение в соответствии с потребностями Заказчика.</w:t>
      </w:r>
    </w:p>
    <w:p w:rsidR="006D21F6" w:rsidRPr="006D21F6" w:rsidRDefault="00271F2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4.2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Доступ через </w:t>
      </w:r>
      <w:proofErr w:type="spellStart"/>
      <w:r w:rsidR="006D21F6" w:rsidRPr="006D21F6">
        <w:rPr>
          <w:rFonts w:ascii="Times New Roman" w:hAnsi="Times New Roman" w:cs="Times New Roman"/>
          <w:b/>
          <w:sz w:val="20"/>
          <w:szCs w:val="20"/>
        </w:rPr>
        <w:t>десктопное</w:t>
      </w:r>
      <w:proofErr w:type="spellEnd"/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приложение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Оперативный доступ к личному кабинету: Обеспечение быстрого доступа к личному кабинету и электронному обмену сообщениями и файлами.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Доступ к площадке </w:t>
      </w:r>
      <w:proofErr w:type="spellStart"/>
      <w:r w:rsidRPr="00915E4B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915E4B">
        <w:rPr>
          <w:rFonts w:ascii="Times New Roman" w:hAnsi="Times New Roman" w:cs="Times New Roman"/>
          <w:sz w:val="20"/>
          <w:szCs w:val="20"/>
        </w:rPr>
        <w:t xml:space="preserve"> и информационным ресурсам: Предоставление доступа к записям </w:t>
      </w:r>
      <w:proofErr w:type="spellStart"/>
      <w:r w:rsidRPr="00915E4B">
        <w:rPr>
          <w:rFonts w:ascii="Times New Roman" w:hAnsi="Times New Roman" w:cs="Times New Roman"/>
          <w:sz w:val="20"/>
          <w:szCs w:val="20"/>
        </w:rPr>
        <w:t>вебинаров</w:t>
      </w:r>
      <w:proofErr w:type="spellEnd"/>
      <w:r w:rsidRPr="00915E4B">
        <w:rPr>
          <w:rFonts w:ascii="Times New Roman" w:hAnsi="Times New Roman" w:cs="Times New Roman"/>
          <w:sz w:val="20"/>
          <w:szCs w:val="20"/>
        </w:rPr>
        <w:t>, профильным статьям, официальным разъяснениям и базе знаний.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Сервис вопрос-ответ: Предоставление возможности задавать вопросы и получать ответы по бухгалтерскому учету, кадровым вопросам и государственным закупкам.</w:t>
      </w:r>
    </w:p>
    <w:p w:rsidR="006D21F6" w:rsidRPr="006D21F6" w:rsidRDefault="00915E4B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4.3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Интеграция с государственными информационными системами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Доступ к государственным информационным системам: Обеспечение доступа к ЕХД БО Министерства финансов РК, базе данных оплаты труда Минтруда РК, ИС Кабинет налогоплательщика и другим необходимым системам.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Сохранение конфигураций баз данных: Гарантия того, что конфигурации баз данных Заказчика не будут изменены в процессе интеграции.</w:t>
      </w:r>
    </w:p>
    <w:p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4.4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Предоставление индивидуального куратора и консультационные услуги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:rsidR="00E6330C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Назначение индивидуального куратора: </w:t>
      </w:r>
      <w:r w:rsidR="00F86D73">
        <w:rPr>
          <w:rFonts w:ascii="Times New Roman" w:hAnsi="Times New Roman" w:cs="Times New Roman"/>
          <w:sz w:val="20"/>
          <w:szCs w:val="20"/>
        </w:rPr>
        <w:t xml:space="preserve">Предоставление </w:t>
      </w:r>
      <w:r w:rsidRPr="00915E4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890A93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915E4B">
        <w:rPr>
          <w:rFonts w:ascii="Times New Roman" w:hAnsi="Times New Roman" w:cs="Times New Roman"/>
          <w:sz w:val="20"/>
          <w:szCs w:val="20"/>
        </w:rPr>
        <w:t xml:space="preserve"> куратор</w:t>
      </w:r>
      <w:r w:rsidR="00890A93">
        <w:rPr>
          <w:rFonts w:ascii="Times New Roman" w:hAnsi="Times New Roman" w:cs="Times New Roman"/>
          <w:sz w:val="20"/>
          <w:szCs w:val="20"/>
        </w:rPr>
        <w:t>а</w:t>
      </w:r>
      <w:r w:rsidRPr="00915E4B">
        <w:rPr>
          <w:rFonts w:ascii="Times New Roman" w:hAnsi="Times New Roman" w:cs="Times New Roman"/>
          <w:sz w:val="20"/>
          <w:szCs w:val="20"/>
        </w:rPr>
        <w:t xml:space="preserve"> для решения вопросов, связанных с эксплуатацией платформы и учетной системы.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Оперативное консультирование: Куратор </w:t>
      </w:r>
      <w:r w:rsidR="00F86D73">
        <w:rPr>
          <w:rFonts w:ascii="Times New Roman" w:hAnsi="Times New Roman" w:cs="Times New Roman"/>
          <w:sz w:val="20"/>
          <w:szCs w:val="20"/>
        </w:rPr>
        <w:t xml:space="preserve">должен быть </w:t>
      </w:r>
      <w:r w:rsidRPr="00915E4B">
        <w:rPr>
          <w:rFonts w:ascii="Times New Roman" w:hAnsi="Times New Roman" w:cs="Times New Roman"/>
          <w:sz w:val="20"/>
          <w:szCs w:val="20"/>
        </w:rPr>
        <w:t>доступен для консультаций по телефону, электронной почте и через личный кабинет на платформе, включая письменные ответы на обращения и поддержку в реальном времени.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Рабочие часы куратора: Консультации </w:t>
      </w:r>
      <w:r w:rsidR="00F86D73">
        <w:rPr>
          <w:rFonts w:ascii="Times New Roman" w:hAnsi="Times New Roman" w:cs="Times New Roman"/>
          <w:sz w:val="20"/>
          <w:szCs w:val="20"/>
        </w:rPr>
        <w:t>должны быть доступны</w:t>
      </w:r>
      <w:r w:rsidRPr="00915E4B">
        <w:rPr>
          <w:rFonts w:ascii="Times New Roman" w:hAnsi="Times New Roman" w:cs="Times New Roman"/>
          <w:sz w:val="20"/>
          <w:szCs w:val="20"/>
        </w:rPr>
        <w:t xml:space="preserve"> ежедневно, кроме выходных и праздничных дней, с 09:00 до 18:00.</w:t>
      </w:r>
    </w:p>
    <w:p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4.5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Работы по внедрению функциональных возможностей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Анализ и планирование: Анализ текущего использования платформы и учетной системы Заказчика для определения необходимых функциональных улучшений.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Реализация улучшений: Внедрение новых функций и возможностей в платформу и учетную систему Заказчика.</w:t>
      </w:r>
    </w:p>
    <w:p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4.6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Оперативное устранение неполадок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Быстрое реагирование на запросы: Обязательство оперативно реагировать на запросы Заказчика, связанные с неполадками в работе платформы или учетной системы.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Техническая поддержка: Предоставление технической поддержки для устранения неполадок и восстановления нормальной работы системы.</w:t>
      </w:r>
    </w:p>
    <w:p w:rsidR="006D21F6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4.7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Обследование для настройки платформы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Оценка потребностей: Обследование платформы и учетной системы для определения требований к настройке и оптимизации.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План настройки: Разработка индивидуализированного плана настройки на основе результатов обследования.</w:t>
      </w:r>
    </w:p>
    <w:p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4.8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Технические доработки учетной системы Заказчика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Идентификация требований к доработке: Определение областей, где учетная система Заказчика требует технических улучшений или дополнений.</w:t>
      </w:r>
    </w:p>
    <w:p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Разработка и реализация доработок: Выполнение необходимых технических работ для улучшения функциональности и производительности учетной системы Заказчика.</w:t>
      </w:r>
    </w:p>
    <w:p w:rsidR="00270809" w:rsidRPr="00270809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</w:t>
      </w:r>
      <w:r w:rsidRPr="00270809">
        <w:rPr>
          <w:rFonts w:ascii="Times New Roman" w:hAnsi="Times New Roman" w:cs="Times New Roman"/>
          <w:b/>
          <w:sz w:val="20"/>
          <w:szCs w:val="20"/>
        </w:rPr>
        <w:t xml:space="preserve">4.9 </w:t>
      </w:r>
      <w:r>
        <w:rPr>
          <w:rFonts w:ascii="Times New Roman" w:hAnsi="Times New Roman" w:cs="Times New Roman"/>
          <w:b/>
          <w:sz w:val="20"/>
          <w:szCs w:val="20"/>
        </w:rPr>
        <w:t>Нарушение условий.</w:t>
      </w:r>
    </w:p>
    <w:p w:rsidR="00270809" w:rsidRDefault="00F86D73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случае неисполнения П</w:t>
      </w:r>
      <w:r w:rsidR="00270809" w:rsidRPr="00270809">
        <w:rPr>
          <w:rFonts w:ascii="Times New Roman" w:hAnsi="Times New Roman" w:cs="Times New Roman"/>
          <w:sz w:val="20"/>
          <w:szCs w:val="20"/>
        </w:rPr>
        <w:t xml:space="preserve">оставщиком условий технической спецификации, приведшего к финансовым или </w:t>
      </w:r>
      <w:proofErr w:type="spellStart"/>
      <w:r w:rsidR="00270809" w:rsidRPr="00270809">
        <w:rPr>
          <w:rFonts w:ascii="Times New Roman" w:hAnsi="Times New Roman" w:cs="Times New Roman"/>
          <w:sz w:val="20"/>
          <w:szCs w:val="20"/>
        </w:rPr>
        <w:t>репутационным</w:t>
      </w:r>
      <w:proofErr w:type="spellEnd"/>
      <w:r w:rsidR="00270809" w:rsidRPr="00270809">
        <w:rPr>
          <w:rFonts w:ascii="Times New Roman" w:hAnsi="Times New Roman" w:cs="Times New Roman"/>
          <w:sz w:val="20"/>
          <w:szCs w:val="20"/>
        </w:rPr>
        <w:t xml:space="preserve"> потерям Заказчика или нарушению исполнительской дисциплины, Заказчик имеет право незамедлительно расторгнуть договор с Поставщиком.</w:t>
      </w:r>
    </w:p>
    <w:p w:rsidR="00E90943" w:rsidRDefault="00915E4B" w:rsidP="00BD11E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B">
        <w:rPr>
          <w:rFonts w:ascii="Times New Roman" w:hAnsi="Times New Roman" w:cs="Times New Roman"/>
          <w:b/>
          <w:sz w:val="20"/>
          <w:szCs w:val="20"/>
        </w:rPr>
        <w:t>Комплект сервисов.</w:t>
      </w:r>
    </w:p>
    <w:p w:rsidR="00270809" w:rsidRPr="00A46C15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C15">
        <w:rPr>
          <w:rFonts w:ascii="Times New Roman" w:hAnsi="Times New Roman" w:cs="Times New Roman"/>
          <w:sz w:val="20"/>
          <w:szCs w:val="20"/>
        </w:rPr>
        <w:t>Определение количества пользователей, объема предоставляемых сервисов и времени сопровождения сотрудников Заказчика, основываясь на потребностях и масштабе использования платформы.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сервисов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Облачное хранилище до 5 МБ, методологическая поддержка, сервисное обслуживание учетной системы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баз данных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1 (одна)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2 (двух)</w:t>
            </w:r>
          </w:p>
        </w:tc>
      </w:tr>
      <w:tr w:rsidR="0054362F" w:rsidRPr="007A1EAC" w:rsidTr="00CE0BFE">
        <w:tc>
          <w:tcPr>
            <w:tcW w:w="562" w:type="dxa"/>
          </w:tcPr>
          <w:p w:rsidR="0054362F" w:rsidRPr="007A1EAC" w:rsidRDefault="0054362F" w:rsidP="00CE0BFE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технического и сервисного обслуживания</w:t>
            </w:r>
          </w:p>
        </w:tc>
        <w:tc>
          <w:tcPr>
            <w:tcW w:w="7080" w:type="dxa"/>
          </w:tcPr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не более 2,5 (двух с половиной) часов в течение одного календарного месяца</w:t>
            </w:r>
          </w:p>
          <w:p w:rsidR="0054362F" w:rsidRPr="007A1EAC" w:rsidRDefault="0054362F" w:rsidP="00CE0BFE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EAC">
              <w:rPr>
                <w:rFonts w:ascii="Times New Roman" w:hAnsi="Times New Roman" w:cs="Times New Roman"/>
                <w:b/>
                <w:sz w:val="20"/>
                <w:szCs w:val="20"/>
              </w:rPr>
              <w:t>(может быть увеличено без дополнительной оплаты только во время адаптации нового сотрудника бухгалтерской службы).</w:t>
            </w:r>
          </w:p>
        </w:tc>
      </w:tr>
    </w:tbl>
    <w:p w:rsidR="00C739A5" w:rsidRPr="00C739A5" w:rsidRDefault="00C739A5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D6308" w:rsidRDefault="008D6308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</w:rPr>
      </w:pPr>
    </w:p>
    <w:sectPr w:rsidR="008D6308" w:rsidSect="00BA333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2FD5"/>
    <w:multiLevelType w:val="multilevel"/>
    <w:tmpl w:val="5150F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" w15:restartNumberingAfterBreak="0">
    <w:nsid w:val="06D4238B"/>
    <w:multiLevelType w:val="hybridMultilevel"/>
    <w:tmpl w:val="4694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516"/>
    <w:multiLevelType w:val="multilevel"/>
    <w:tmpl w:val="1AB8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440"/>
      </w:pPr>
      <w:rPr>
        <w:rFonts w:hint="default"/>
      </w:rPr>
    </w:lvl>
  </w:abstractNum>
  <w:abstractNum w:abstractNumId="3" w15:restartNumberingAfterBreak="0">
    <w:nsid w:val="144E271B"/>
    <w:multiLevelType w:val="hybridMultilevel"/>
    <w:tmpl w:val="D54E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0325C"/>
    <w:multiLevelType w:val="hybridMultilevel"/>
    <w:tmpl w:val="4B86BA40"/>
    <w:lvl w:ilvl="0" w:tplc="BB4283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6708"/>
    <w:multiLevelType w:val="multilevel"/>
    <w:tmpl w:val="E5E64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491222"/>
    <w:multiLevelType w:val="hybridMultilevel"/>
    <w:tmpl w:val="60CC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83B25"/>
    <w:multiLevelType w:val="hybridMultilevel"/>
    <w:tmpl w:val="608A0F2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053F"/>
    <w:multiLevelType w:val="hybridMultilevel"/>
    <w:tmpl w:val="E7728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D2854"/>
    <w:multiLevelType w:val="multilevel"/>
    <w:tmpl w:val="9C76E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CF04836"/>
    <w:multiLevelType w:val="hybridMultilevel"/>
    <w:tmpl w:val="7A5CB1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54217"/>
    <w:multiLevelType w:val="multilevel"/>
    <w:tmpl w:val="2D3E1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3866A5"/>
    <w:multiLevelType w:val="hybridMultilevel"/>
    <w:tmpl w:val="1806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507242"/>
    <w:multiLevelType w:val="multilevel"/>
    <w:tmpl w:val="741CCB32"/>
    <w:lvl w:ilvl="0">
      <w:start w:val="1"/>
      <w:numFmt w:val="decimal"/>
      <w:lvlText w:val="%1."/>
      <w:lvlJc w:val="left"/>
      <w:pPr>
        <w:ind w:left="1214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4" w:hanging="363"/>
      </w:pPr>
      <w:rPr>
        <w:rFonts w:hint="default"/>
      </w:rPr>
    </w:lvl>
    <w:lvl w:ilvl="2">
      <w:start w:val="1"/>
      <w:numFmt w:val="none"/>
      <w:isLgl/>
      <w:lvlText w:val="3.2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14" w15:restartNumberingAfterBreak="0">
    <w:nsid w:val="50E77195"/>
    <w:multiLevelType w:val="hybridMultilevel"/>
    <w:tmpl w:val="8476023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A3722"/>
    <w:multiLevelType w:val="hybridMultilevel"/>
    <w:tmpl w:val="9644455A"/>
    <w:lvl w:ilvl="0" w:tplc="3D80E1EC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5D4905F9"/>
    <w:multiLevelType w:val="hybridMultilevel"/>
    <w:tmpl w:val="957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2BC"/>
    <w:multiLevelType w:val="hybridMultilevel"/>
    <w:tmpl w:val="F9BC2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5370A"/>
    <w:multiLevelType w:val="hybridMultilevel"/>
    <w:tmpl w:val="FCC82960"/>
    <w:lvl w:ilvl="0" w:tplc="A6D8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3D3ACE"/>
    <w:multiLevelType w:val="multilevel"/>
    <w:tmpl w:val="590C9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"/>
  </w:num>
  <w:num w:numId="5">
    <w:abstractNumId w:val="4"/>
  </w:num>
  <w:num w:numId="6">
    <w:abstractNumId w:val="1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2"/>
  </w:num>
  <w:num w:numId="12">
    <w:abstractNumId w:val="17"/>
  </w:num>
  <w:num w:numId="13">
    <w:abstractNumId w:val="15"/>
  </w:num>
  <w:num w:numId="14">
    <w:abstractNumId w:val="11"/>
  </w:num>
  <w:num w:numId="15">
    <w:abstractNumId w:val="19"/>
  </w:num>
  <w:num w:numId="16">
    <w:abstractNumId w:val="5"/>
  </w:num>
  <w:num w:numId="17">
    <w:abstractNumId w:val="13"/>
  </w:num>
  <w:num w:numId="18">
    <w:abstractNumId w:val="18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14"/>
    <w:rsid w:val="00017A84"/>
    <w:rsid w:val="000304D7"/>
    <w:rsid w:val="00031DF6"/>
    <w:rsid w:val="000519D8"/>
    <w:rsid w:val="00075496"/>
    <w:rsid w:val="0008174A"/>
    <w:rsid w:val="00082BBC"/>
    <w:rsid w:val="000C7F9B"/>
    <w:rsid w:val="000E220F"/>
    <w:rsid w:val="000F11F5"/>
    <w:rsid w:val="000F4FB8"/>
    <w:rsid w:val="0011759C"/>
    <w:rsid w:val="0012568E"/>
    <w:rsid w:val="0013031B"/>
    <w:rsid w:val="001418D4"/>
    <w:rsid w:val="00147FE9"/>
    <w:rsid w:val="00150678"/>
    <w:rsid w:val="00177E27"/>
    <w:rsid w:val="00191C61"/>
    <w:rsid w:val="001D505D"/>
    <w:rsid w:val="001D5746"/>
    <w:rsid w:val="001D7EF1"/>
    <w:rsid w:val="001E1DA1"/>
    <w:rsid w:val="00205CC5"/>
    <w:rsid w:val="00241C0A"/>
    <w:rsid w:val="00262923"/>
    <w:rsid w:val="00270809"/>
    <w:rsid w:val="00271F2C"/>
    <w:rsid w:val="002826EE"/>
    <w:rsid w:val="002A1ABD"/>
    <w:rsid w:val="002D3F88"/>
    <w:rsid w:val="002D7F3C"/>
    <w:rsid w:val="002E5BC6"/>
    <w:rsid w:val="002F4E14"/>
    <w:rsid w:val="003042B8"/>
    <w:rsid w:val="00321923"/>
    <w:rsid w:val="003338A7"/>
    <w:rsid w:val="00334DA5"/>
    <w:rsid w:val="003469B0"/>
    <w:rsid w:val="00375ECB"/>
    <w:rsid w:val="003824BC"/>
    <w:rsid w:val="003A1DEE"/>
    <w:rsid w:val="003B43C2"/>
    <w:rsid w:val="003C0874"/>
    <w:rsid w:val="003D5AD3"/>
    <w:rsid w:val="003D7241"/>
    <w:rsid w:val="003F07F3"/>
    <w:rsid w:val="004025B6"/>
    <w:rsid w:val="00404B98"/>
    <w:rsid w:val="00407967"/>
    <w:rsid w:val="00416BA2"/>
    <w:rsid w:val="004230BE"/>
    <w:rsid w:val="004534C4"/>
    <w:rsid w:val="004576DF"/>
    <w:rsid w:val="004915C5"/>
    <w:rsid w:val="004A3114"/>
    <w:rsid w:val="004A587B"/>
    <w:rsid w:val="004C47D4"/>
    <w:rsid w:val="004D186E"/>
    <w:rsid w:val="00520F89"/>
    <w:rsid w:val="00542998"/>
    <w:rsid w:val="0054362F"/>
    <w:rsid w:val="0054441A"/>
    <w:rsid w:val="005670D5"/>
    <w:rsid w:val="00573B23"/>
    <w:rsid w:val="00581040"/>
    <w:rsid w:val="005836E2"/>
    <w:rsid w:val="00587688"/>
    <w:rsid w:val="00597868"/>
    <w:rsid w:val="005B4A10"/>
    <w:rsid w:val="005C51B7"/>
    <w:rsid w:val="005C60EB"/>
    <w:rsid w:val="005D7644"/>
    <w:rsid w:val="005E72E5"/>
    <w:rsid w:val="005F6605"/>
    <w:rsid w:val="00655052"/>
    <w:rsid w:val="00666530"/>
    <w:rsid w:val="006A7359"/>
    <w:rsid w:val="006B119D"/>
    <w:rsid w:val="006C7B12"/>
    <w:rsid w:val="006D21F6"/>
    <w:rsid w:val="006D5820"/>
    <w:rsid w:val="00706534"/>
    <w:rsid w:val="0071769A"/>
    <w:rsid w:val="00717C10"/>
    <w:rsid w:val="00720136"/>
    <w:rsid w:val="00723BB3"/>
    <w:rsid w:val="00725BD3"/>
    <w:rsid w:val="007355D4"/>
    <w:rsid w:val="007575D8"/>
    <w:rsid w:val="00764C81"/>
    <w:rsid w:val="00767452"/>
    <w:rsid w:val="007876DA"/>
    <w:rsid w:val="00797A90"/>
    <w:rsid w:val="007A58E5"/>
    <w:rsid w:val="007B2EA1"/>
    <w:rsid w:val="007E46BD"/>
    <w:rsid w:val="007E68B9"/>
    <w:rsid w:val="00802DCB"/>
    <w:rsid w:val="0080657E"/>
    <w:rsid w:val="00817387"/>
    <w:rsid w:val="00820123"/>
    <w:rsid w:val="00825076"/>
    <w:rsid w:val="008337B8"/>
    <w:rsid w:val="00890A93"/>
    <w:rsid w:val="008A3A1C"/>
    <w:rsid w:val="008B12EC"/>
    <w:rsid w:val="008B762C"/>
    <w:rsid w:val="008C5822"/>
    <w:rsid w:val="008D6308"/>
    <w:rsid w:val="008E0D56"/>
    <w:rsid w:val="008E2B0B"/>
    <w:rsid w:val="008F20AE"/>
    <w:rsid w:val="009021A6"/>
    <w:rsid w:val="00907D22"/>
    <w:rsid w:val="00915E4B"/>
    <w:rsid w:val="00917B35"/>
    <w:rsid w:val="00935F91"/>
    <w:rsid w:val="009A0B92"/>
    <w:rsid w:val="009A7220"/>
    <w:rsid w:val="009B26F3"/>
    <w:rsid w:val="009B2F6D"/>
    <w:rsid w:val="009C097B"/>
    <w:rsid w:val="009D0575"/>
    <w:rsid w:val="009E65B4"/>
    <w:rsid w:val="00A46C15"/>
    <w:rsid w:val="00A5198A"/>
    <w:rsid w:val="00A87C8D"/>
    <w:rsid w:val="00AB7E69"/>
    <w:rsid w:val="00AE4B2A"/>
    <w:rsid w:val="00AF51E2"/>
    <w:rsid w:val="00B050C9"/>
    <w:rsid w:val="00B12936"/>
    <w:rsid w:val="00B45970"/>
    <w:rsid w:val="00B55C75"/>
    <w:rsid w:val="00B70BE2"/>
    <w:rsid w:val="00BA1788"/>
    <w:rsid w:val="00BA333A"/>
    <w:rsid w:val="00BD0432"/>
    <w:rsid w:val="00BD11E3"/>
    <w:rsid w:val="00BD1728"/>
    <w:rsid w:val="00BE668E"/>
    <w:rsid w:val="00C00370"/>
    <w:rsid w:val="00C07EC3"/>
    <w:rsid w:val="00C33038"/>
    <w:rsid w:val="00C35489"/>
    <w:rsid w:val="00C3576E"/>
    <w:rsid w:val="00C67ADC"/>
    <w:rsid w:val="00C739A5"/>
    <w:rsid w:val="00CF6999"/>
    <w:rsid w:val="00D11B65"/>
    <w:rsid w:val="00D456F3"/>
    <w:rsid w:val="00D630A1"/>
    <w:rsid w:val="00DC126E"/>
    <w:rsid w:val="00DC4319"/>
    <w:rsid w:val="00DD027B"/>
    <w:rsid w:val="00DE0A94"/>
    <w:rsid w:val="00E24A0C"/>
    <w:rsid w:val="00E55CE7"/>
    <w:rsid w:val="00E632B7"/>
    <w:rsid w:val="00E6330C"/>
    <w:rsid w:val="00E7016C"/>
    <w:rsid w:val="00E90943"/>
    <w:rsid w:val="00EA3448"/>
    <w:rsid w:val="00EA469C"/>
    <w:rsid w:val="00EA51DB"/>
    <w:rsid w:val="00EC44CF"/>
    <w:rsid w:val="00ED3452"/>
    <w:rsid w:val="00EE5E74"/>
    <w:rsid w:val="00F2332C"/>
    <w:rsid w:val="00F32E93"/>
    <w:rsid w:val="00F564B3"/>
    <w:rsid w:val="00F62C43"/>
    <w:rsid w:val="00F86D73"/>
    <w:rsid w:val="00FA45F4"/>
    <w:rsid w:val="00FB54FC"/>
    <w:rsid w:val="00FD00AD"/>
    <w:rsid w:val="00FD2EA0"/>
    <w:rsid w:val="00FD686C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11B7-2A46-4C39-812E-C9CC84B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7AD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DC"/>
    <w:pPr>
      <w:ind w:left="720"/>
      <w:contextualSpacing/>
    </w:pPr>
  </w:style>
  <w:style w:type="table" w:styleId="a4">
    <w:name w:val="Table Grid"/>
    <w:basedOn w:val="a1"/>
    <w:uiPriority w:val="59"/>
    <w:rsid w:val="00C7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9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D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3C6A-216E-4DAB-8BD4-41573800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6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31</cp:revision>
  <dcterms:created xsi:type="dcterms:W3CDTF">2023-12-13T17:18:00Z</dcterms:created>
  <dcterms:modified xsi:type="dcterms:W3CDTF">2023-12-26T09:04:00Z</dcterms:modified>
</cp:coreProperties>
</file>